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A2206F" w:rsidP="00A82300">
      <w:pPr>
        <w:tabs>
          <w:tab w:val="left" w:pos="2954"/>
          <w:tab w:val="center" w:pos="7002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A2206F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Pr="00A2206F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29" type="#_x0000_t202" style="position:absolute;margin-left:165pt;margin-top:-73.95pt;width:291.75pt;height:49.25pt;z-index:251665408">
            <v:textbox>
              <w:txbxContent>
                <w:p w:rsidR="00EF081A" w:rsidRPr="003310DB" w:rsidRDefault="00D37575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Matemáticas Segundo</w:t>
                  </w:r>
                  <w:r w:rsidR="003310DB" w:rsidRPr="003310DB">
                    <w:rPr>
                      <w:b/>
                      <w:lang w:val="es-MX"/>
                    </w:rPr>
                    <w:t xml:space="preserve"> año Básico.</w:t>
                  </w:r>
                </w:p>
                <w:p w:rsidR="003310DB" w:rsidRPr="003310DB" w:rsidRDefault="00BB7343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Unidad 1</w:t>
                  </w:r>
                </w:p>
              </w:txbxContent>
            </v:textbox>
          </v:shape>
        </w:pict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shd w:val="clear" w:color="auto" w:fill="FFFFFF" w:themeFill="background1"/>
        <w:tblLook w:val="04A0"/>
      </w:tblPr>
      <w:tblGrid>
        <w:gridCol w:w="2518"/>
        <w:gridCol w:w="11626"/>
      </w:tblGrid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EB787B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Números y operaciones.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EB787B" w:rsidRDefault="00750BF1" w:rsidP="0084381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Resolver problemas – representar- Argumentar y comunicar.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50BF1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Manifiesta </w:t>
            </w:r>
            <w:r w:rsidR="00CC5A60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un estilo de trabajo ordenado y metódico, expresa y escucha ideas de forma respetuosa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, </w:t>
            </w:r>
            <w:r w:rsidR="00B265EF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demuestra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 actitud de esfuerzo y perseverancia.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A2206F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2206F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82.15pt;z-index:251662336">
            <v:textbox style="mso-next-textbox:#_x0000_s1026">
              <w:txbxContent>
                <w:p w:rsidR="00E66E7B" w:rsidRPr="0022606C" w:rsidRDefault="003331E9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  <w:sz w:val="20"/>
                      <w:szCs w:val="20"/>
                    </w:rPr>
                  </w:pPr>
                  <w:r w:rsidRPr="003331E9">
                    <w:rPr>
                      <w:rFonts w:cs="ReplicaStd-Bold"/>
                      <w:b/>
                      <w:bCs/>
                      <w:sz w:val="20"/>
                      <w:szCs w:val="20"/>
                    </w:rPr>
                    <w:t>OA18 - Leer horas y medias horas en relojes digitales, en el contexto de la resolución de problemas.</w:t>
                  </w: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A2206F" w:rsidP="003C58ED">
      <w:pPr>
        <w:rPr>
          <w:b/>
          <w:sz w:val="24"/>
          <w:szCs w:val="24"/>
          <w:lang w:val="es-ES"/>
        </w:rPr>
      </w:pPr>
      <w:r w:rsidRPr="00A2206F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460AFF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Reloj digital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2D297D" w:rsidRDefault="003C58ED" w:rsidP="003C58ED">
      <w:pPr>
        <w:rPr>
          <w:b/>
          <w:sz w:val="24"/>
          <w:szCs w:val="24"/>
          <w:lang w:val="es-ES"/>
        </w:rPr>
      </w:pPr>
      <w:r w:rsidRPr="003C58ED">
        <w:rPr>
          <w:b/>
          <w:sz w:val="24"/>
          <w:szCs w:val="24"/>
          <w:lang w:val="es-ES"/>
        </w:rPr>
        <w:t>Referencia Bibliográfica o web</w:t>
      </w:r>
      <w:r>
        <w:rPr>
          <w:b/>
          <w:sz w:val="24"/>
          <w:szCs w:val="24"/>
          <w:lang w:val="es-ES"/>
        </w:rPr>
        <w:t xml:space="preserve"> –grafía:</w:t>
      </w:r>
    </w:p>
    <w:p w:rsidR="008734B2" w:rsidRDefault="003C58ED" w:rsidP="008734B2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 w:rsidR="00A82300">
        <w:rPr>
          <w:b/>
          <w:sz w:val="24"/>
          <w:szCs w:val="24"/>
          <w:lang w:val="es-ES"/>
        </w:rPr>
        <w:t>Marco teórico</w:t>
      </w:r>
    </w:p>
    <w:p w:rsidR="00460AFF" w:rsidRDefault="00460AFF" w:rsidP="00EB787B">
      <w:pPr>
        <w:jc w:val="center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460AFF" w:rsidRDefault="00460AFF" w:rsidP="00EB787B">
      <w:pPr>
        <w:jc w:val="center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682FB8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3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043"/>
        <w:gridCol w:w="992"/>
        <w:gridCol w:w="1904"/>
        <w:gridCol w:w="5482"/>
        <w:gridCol w:w="1752"/>
        <w:gridCol w:w="1252"/>
        <w:gridCol w:w="1828"/>
      </w:tblGrid>
      <w:tr w:rsidR="00DA1152" w:rsidTr="009A0C42">
        <w:trPr>
          <w:trHeight w:val="70"/>
          <w:jc w:val="center"/>
        </w:trPr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48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9A0C42">
        <w:trPr>
          <w:jc w:val="center"/>
        </w:trPr>
        <w:tc>
          <w:tcPr>
            <w:tcW w:w="2043" w:type="dxa"/>
            <w:shd w:val="clear" w:color="auto" w:fill="FFFFFF" w:themeFill="background1"/>
          </w:tcPr>
          <w:p w:rsidR="001C6458" w:rsidRPr="001C6458" w:rsidRDefault="004A146D" w:rsidP="004A146D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4A146D">
              <w:rPr>
                <w:rFonts w:cs="Bliss-Regular"/>
                <w:sz w:val="20"/>
                <w:szCs w:val="20"/>
              </w:rPr>
              <w:t>Asocian eventos cotidianos con horas y medias horas determ</w:t>
            </w:r>
            <w:r>
              <w:rPr>
                <w:rFonts w:cs="Bliss-Regular"/>
                <w:sz w:val="20"/>
                <w:szCs w:val="20"/>
              </w:rPr>
              <w:t xml:space="preserve">inadas. </w:t>
            </w:r>
            <w:r w:rsidRPr="004A146D">
              <w:rPr>
                <w:rFonts w:cs="Bliss-Regular"/>
                <w:sz w:val="20"/>
                <w:szCs w:val="20"/>
              </w:rPr>
              <w:t>(ejemplo: llegamos a clases a las 8:00 horas). Leen horas y</w:t>
            </w:r>
            <w:r>
              <w:rPr>
                <w:rFonts w:cs="Bliss-Regular"/>
                <w:sz w:val="20"/>
                <w:szCs w:val="20"/>
              </w:rPr>
              <w:t xml:space="preserve"> </w:t>
            </w:r>
            <w:r w:rsidRPr="004A146D">
              <w:rPr>
                <w:rFonts w:cs="Bliss-Regular"/>
                <w:sz w:val="20"/>
                <w:szCs w:val="20"/>
              </w:rPr>
              <w:t>medias horas en relojes digitales en contextos de la resolución de problemas. Resuelven problemas cotidianos usando</w:t>
            </w:r>
            <w:r>
              <w:rPr>
                <w:rFonts w:cs="Bliss-Regular"/>
                <w:sz w:val="20"/>
                <w:szCs w:val="20"/>
              </w:rPr>
              <w:t xml:space="preserve"> </w:t>
            </w:r>
            <w:r w:rsidRPr="004A146D">
              <w:rPr>
                <w:rFonts w:cs="Bliss-Regular"/>
                <w:sz w:val="20"/>
                <w:szCs w:val="20"/>
              </w:rPr>
              <w:t>estrategias de solución que incluyen una hora o media hora.</w:t>
            </w:r>
          </w:p>
        </w:tc>
        <w:tc>
          <w:tcPr>
            <w:tcW w:w="992" w:type="dxa"/>
            <w:shd w:val="clear" w:color="auto" w:fill="FFFFFF" w:themeFill="background1"/>
          </w:tcPr>
          <w:p w:rsidR="005D414A" w:rsidRPr="001C6458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55 </w:t>
            </w:r>
            <w:r w:rsidR="003616B2" w:rsidRPr="001C6458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904" w:type="dxa"/>
            <w:shd w:val="clear" w:color="auto" w:fill="FFFFFF" w:themeFill="background1"/>
          </w:tcPr>
          <w:p w:rsidR="00896403" w:rsidRPr="001C6458" w:rsidRDefault="00896403" w:rsidP="00896403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  <w:p w:rsidR="005D4DB4" w:rsidRPr="005D4DB4" w:rsidRDefault="005D4DB4" w:rsidP="005D4DB4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5D4DB4">
              <w:rPr>
                <w:rFonts w:cs="Dignathin"/>
                <w:color w:val="292829"/>
                <w:sz w:val="20"/>
                <w:szCs w:val="20"/>
              </w:rPr>
              <w:t>- Emplear diversas estrategias para resolver problemas o a través de ensayo y error o aplicando conocimientos</w:t>
            </w:r>
            <w:r>
              <w:rPr>
                <w:rFonts w:cs="Dignathin"/>
                <w:color w:val="292829"/>
                <w:sz w:val="20"/>
                <w:szCs w:val="20"/>
              </w:rPr>
              <w:t xml:space="preserve"> </w:t>
            </w:r>
            <w:r w:rsidRPr="005D4DB4">
              <w:rPr>
                <w:rFonts w:cs="Dignathin"/>
                <w:color w:val="292829"/>
                <w:sz w:val="20"/>
                <w:szCs w:val="20"/>
              </w:rPr>
              <w:t>adquiridos.</w:t>
            </w:r>
          </w:p>
          <w:p w:rsidR="005D414A" w:rsidRPr="001C6458" w:rsidRDefault="005D4DB4" w:rsidP="005D4DB4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5D4DB4">
              <w:rPr>
                <w:rFonts w:cs="Dignathin"/>
                <w:b/>
                <w:bCs/>
                <w:color w:val="292829"/>
                <w:sz w:val="20"/>
                <w:szCs w:val="20"/>
              </w:rPr>
              <w:t xml:space="preserve">- </w:t>
            </w:r>
            <w:r w:rsidRPr="005D4DB4">
              <w:rPr>
                <w:rFonts w:cs="Dignathin"/>
                <w:color w:val="292829"/>
                <w:sz w:val="20"/>
                <w:szCs w:val="20"/>
              </w:rPr>
              <w:t>- Comprobar enunciando usando material concreto y gráfico.</w:t>
            </w:r>
          </w:p>
        </w:tc>
        <w:tc>
          <w:tcPr>
            <w:tcW w:w="5482" w:type="dxa"/>
            <w:shd w:val="clear" w:color="auto" w:fill="FFFFFF" w:themeFill="background1"/>
          </w:tcPr>
          <w:p w:rsidR="005025F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 </w:t>
            </w:r>
            <w:r w:rsidR="005025FD" w:rsidRPr="001C6458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410C43" w:rsidRPr="00410C43" w:rsidRDefault="00410C43" w:rsidP="00410C43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410C43">
              <w:rPr>
                <w:rFonts w:cs="gobCL-Bold"/>
                <w:bCs/>
                <w:sz w:val="20"/>
                <w:szCs w:val="20"/>
              </w:rPr>
              <w:t>Docente refuerza contenidos vistos en clase anterior. Presenta objetivo de la clase, que es asociar eventos cotidianos con hora y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410C43">
              <w:rPr>
                <w:rFonts w:cs="gobCL-Bold"/>
                <w:bCs/>
                <w:sz w:val="20"/>
                <w:szCs w:val="20"/>
              </w:rPr>
              <w:t>media hora.</w:t>
            </w:r>
          </w:p>
          <w:p w:rsidR="00410C43" w:rsidRPr="00410C43" w:rsidRDefault="00410C43" w:rsidP="00410C43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410C43">
              <w:rPr>
                <w:rFonts w:cs="gobCL-Bold"/>
                <w:bCs/>
                <w:sz w:val="20"/>
                <w:szCs w:val="20"/>
              </w:rPr>
              <w:t>El docente pregunta a los estudiantes: ¿A qué hora suena el timbre para ingresar al colegio? Solicita que alguien pase a la pizarra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410C43">
              <w:rPr>
                <w:rFonts w:cs="gobCL-Bold"/>
                <w:bCs/>
                <w:sz w:val="20"/>
                <w:szCs w:val="20"/>
              </w:rPr>
              <w:t>a escribir la hora de entrada.</w:t>
            </w:r>
          </w:p>
          <w:p w:rsidR="00A77AB4" w:rsidRPr="00A77AB4" w:rsidRDefault="00410C43" w:rsidP="00410C43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410C43">
              <w:rPr>
                <w:rFonts w:cs="gobCL-Bold"/>
                <w:bCs/>
                <w:sz w:val="20"/>
                <w:szCs w:val="20"/>
              </w:rPr>
              <w:t>Cada estudiante debe escribir en su cuaderno la hora</w:t>
            </w:r>
            <w:r>
              <w:rPr>
                <w:rFonts w:cs="gobCL-Bold"/>
                <w:bCs/>
                <w:sz w:val="20"/>
                <w:szCs w:val="20"/>
              </w:rPr>
              <w:t>.</w:t>
            </w:r>
          </w:p>
          <w:p w:rsidR="005F5365" w:rsidRPr="001C6458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1C6458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682FB8" w:rsidRPr="00682FB8" w:rsidRDefault="00682FB8" w:rsidP="00682FB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>
              <w:rPr>
                <w:rFonts w:cs="MyriadPro-Regular"/>
                <w:sz w:val="20"/>
                <w:szCs w:val="20"/>
              </w:rPr>
              <w:t>Los e</w:t>
            </w:r>
            <w:r w:rsidRPr="00682FB8">
              <w:rPr>
                <w:rFonts w:cs="MyriadPro-Regular"/>
                <w:sz w:val="20"/>
                <w:szCs w:val="20"/>
              </w:rPr>
              <w:t>studiantes responden preguntas acerca de rutinas relacionadas con tiempos. Por ejemplo: a) ¿A qué hora llegué al colegio? b)</w:t>
            </w:r>
          </w:p>
          <w:p w:rsidR="00682FB8" w:rsidRPr="00682FB8" w:rsidRDefault="00682FB8" w:rsidP="00682FB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682FB8">
              <w:rPr>
                <w:rFonts w:cs="MyriadPro-Regular"/>
                <w:sz w:val="20"/>
                <w:szCs w:val="20"/>
              </w:rPr>
              <w:t>¿A qué hora salí de él?, ¿cómo lo sé? Leen la hora y/o minutos de los relojes digitales dados por el docente. Dibujan relojes</w:t>
            </w:r>
            <w:r w:rsidR="00983276">
              <w:rPr>
                <w:rFonts w:cs="MyriadPro-Regular"/>
                <w:sz w:val="20"/>
                <w:szCs w:val="20"/>
              </w:rPr>
              <w:t xml:space="preserve"> </w:t>
            </w:r>
            <w:r w:rsidRPr="00682FB8">
              <w:rPr>
                <w:rFonts w:cs="MyriadPro-Regular"/>
                <w:sz w:val="20"/>
                <w:szCs w:val="20"/>
              </w:rPr>
              <w:t>digitales que indican horas de actividades que hacen en un determinado momento, como practicar un deporte los sábados, leer</w:t>
            </w:r>
            <w:r w:rsidR="00983276">
              <w:rPr>
                <w:rFonts w:cs="MyriadPro-Regular"/>
                <w:sz w:val="20"/>
                <w:szCs w:val="20"/>
              </w:rPr>
              <w:t xml:space="preserve"> </w:t>
            </w:r>
            <w:r w:rsidRPr="00682FB8">
              <w:rPr>
                <w:rFonts w:cs="MyriadPro-Regular"/>
                <w:sz w:val="20"/>
                <w:szCs w:val="20"/>
              </w:rPr>
              <w:t>un libro al acostarse o ver un documental en la televisión. Registran en su cuaderno los horarios del colegio y contestan preguntas</w:t>
            </w:r>
            <w:r w:rsidR="00983276">
              <w:rPr>
                <w:rFonts w:cs="MyriadPro-Regular"/>
                <w:sz w:val="20"/>
                <w:szCs w:val="20"/>
              </w:rPr>
              <w:t xml:space="preserve"> </w:t>
            </w:r>
            <w:r w:rsidRPr="00682FB8">
              <w:rPr>
                <w:rFonts w:cs="MyriadPro-Regular"/>
                <w:sz w:val="20"/>
                <w:szCs w:val="20"/>
              </w:rPr>
              <w:t>de sus compañeros, por ejemplo, acerca de la hora que toca matemática el día martes o la hora en que tocan el timbre para el</w:t>
            </w:r>
            <w:r w:rsidR="00983276">
              <w:rPr>
                <w:rFonts w:cs="MyriadPro-Regular"/>
                <w:sz w:val="20"/>
                <w:szCs w:val="20"/>
              </w:rPr>
              <w:t xml:space="preserve"> </w:t>
            </w:r>
            <w:r w:rsidRPr="00682FB8">
              <w:rPr>
                <w:rFonts w:cs="MyriadPro-Regular"/>
                <w:sz w:val="20"/>
                <w:szCs w:val="20"/>
              </w:rPr>
              <w:t>segundo recreo.</w:t>
            </w:r>
          </w:p>
          <w:p w:rsidR="00826F17" w:rsidRPr="00983276" w:rsidRDefault="00682FB8" w:rsidP="00682FB8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682FB8">
              <w:rPr>
                <w:rFonts w:cs="MyriadPro-Regular"/>
                <w:sz w:val="20"/>
                <w:szCs w:val="20"/>
              </w:rPr>
              <w:t>S</w:t>
            </w:r>
            <w:r w:rsidR="00983276">
              <w:rPr>
                <w:rFonts w:cs="MyriadPro-Regular"/>
                <w:sz w:val="20"/>
                <w:szCs w:val="20"/>
              </w:rPr>
              <w:t xml:space="preserve">e entrega ficha de actividades </w:t>
            </w:r>
            <w:r w:rsidRPr="00682FB8">
              <w:rPr>
                <w:rFonts w:cs="MyriadPro-Regular"/>
                <w:sz w:val="20"/>
                <w:szCs w:val="20"/>
              </w:rPr>
              <w:t>para que los estudiantes desarrollen en la clase. El docente supervisa el trabajo</w:t>
            </w:r>
            <w:r w:rsidR="00983276">
              <w:rPr>
                <w:rFonts w:cs="MyriadPro-Regular"/>
                <w:sz w:val="20"/>
                <w:szCs w:val="20"/>
              </w:rPr>
              <w:t xml:space="preserve"> </w:t>
            </w:r>
            <w:r w:rsidRPr="00682FB8">
              <w:rPr>
                <w:rFonts w:cs="MyriadPro-Regular"/>
                <w:sz w:val="20"/>
                <w:szCs w:val="20"/>
              </w:rPr>
              <w:t>y responde consultas. Una vez finalizada, se realiza la revisión de los ejercicios de la ficha en la pizarra, por parte de los</w:t>
            </w:r>
            <w:r w:rsidR="00983276">
              <w:rPr>
                <w:rFonts w:cs="MyriadPro-Regular"/>
                <w:sz w:val="20"/>
                <w:szCs w:val="20"/>
              </w:rPr>
              <w:t xml:space="preserve"> </w:t>
            </w:r>
            <w:r w:rsidRPr="00682FB8">
              <w:rPr>
                <w:rFonts w:cs="MyriadPro-Regular"/>
                <w:sz w:val="20"/>
                <w:szCs w:val="20"/>
              </w:rPr>
              <w:t>estudiantes.</w:t>
            </w:r>
          </w:p>
          <w:p w:rsidR="00825A2B" w:rsidRPr="001C6458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1C6458">
              <w:rPr>
                <w:b/>
                <w:sz w:val="20"/>
                <w:szCs w:val="20"/>
                <w:lang w:val="es-ES"/>
              </w:rPr>
              <w:t>CIERRE</w:t>
            </w:r>
          </w:p>
          <w:p w:rsidR="00EB4021" w:rsidRPr="00EB4021" w:rsidRDefault="00EB4021" w:rsidP="00EB40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EB4021">
              <w:rPr>
                <w:rFonts w:cs="MyriadPro-Regular"/>
                <w:sz w:val="20"/>
                <w:szCs w:val="20"/>
              </w:rPr>
              <w:lastRenderedPageBreak/>
              <w:t>Docente pregunta a los estudiantes qué aprendieron en la sesión de hoy, qué les pareció, les costó, por qué. Se espera que los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EB4021">
              <w:rPr>
                <w:rFonts w:cs="MyriadPro-Regular"/>
                <w:sz w:val="20"/>
                <w:szCs w:val="20"/>
              </w:rPr>
              <w:t>estudiantes sean capaces de argumentar y justificar sus respuestas, verificando así, si se cumplió el el objetivo planteado en elinicio.</w:t>
            </w:r>
          </w:p>
          <w:p w:rsidR="00BE74E9" w:rsidRPr="001C6458" w:rsidRDefault="00EB4021" w:rsidP="00EB4021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EB4021">
              <w:rPr>
                <w:rFonts w:cs="MyriadPro-Regular"/>
                <w:sz w:val="20"/>
                <w:szCs w:val="20"/>
              </w:rPr>
              <w:t>El docente deja como tarea para la casa confeccionar un reloj digital de cartón, con números que se pegan al reloj con velcro.</w:t>
            </w:r>
          </w:p>
        </w:tc>
        <w:tc>
          <w:tcPr>
            <w:tcW w:w="1752" w:type="dxa"/>
            <w:shd w:val="clear" w:color="auto" w:fill="FFFFFF" w:themeFill="background1"/>
          </w:tcPr>
          <w:p w:rsidR="00A77AB4" w:rsidRDefault="00A77AB4" w:rsidP="00A77AB4">
            <w:pPr>
              <w:tabs>
                <w:tab w:val="left" w:pos="1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.</w:t>
            </w:r>
            <w:r w:rsidR="00503E00" w:rsidRPr="00503E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3E00" w:rsidRPr="00503E00">
              <w:rPr>
                <w:sz w:val="20"/>
                <w:szCs w:val="20"/>
              </w:rPr>
              <w:t>Ficha de actividades.</w:t>
            </w:r>
          </w:p>
          <w:p w:rsidR="00503E00" w:rsidRDefault="00503E00" w:rsidP="00A77AB4">
            <w:pPr>
              <w:tabs>
                <w:tab w:val="left" w:pos="1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lápiz</w:t>
            </w:r>
          </w:p>
          <w:p w:rsidR="00503E00" w:rsidRDefault="00503E00" w:rsidP="00A77AB4">
            <w:pPr>
              <w:tabs>
                <w:tab w:val="left" w:pos="1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.Cuaderno</w:t>
            </w:r>
          </w:p>
          <w:p w:rsidR="00503E00" w:rsidRPr="00A77AB4" w:rsidRDefault="00503E00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.Pizarra</w:t>
            </w:r>
          </w:p>
        </w:tc>
        <w:tc>
          <w:tcPr>
            <w:tcW w:w="1252" w:type="dxa"/>
            <w:shd w:val="clear" w:color="auto" w:fill="FFFFFF" w:themeFill="background1"/>
          </w:tcPr>
          <w:p w:rsidR="005D414A" w:rsidRPr="001C6458" w:rsidRDefault="0035023B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Escala de apreciación </w:t>
            </w:r>
          </w:p>
        </w:tc>
        <w:tc>
          <w:tcPr>
            <w:tcW w:w="1828" w:type="dxa"/>
            <w:shd w:val="clear" w:color="auto" w:fill="FFFFFF" w:themeFill="background1"/>
          </w:tcPr>
          <w:p w:rsidR="005D414A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Mantiene una actitud de interés y respeto frente a las actividades presentadas.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Logra realizar todas</w:t>
            </w:r>
            <w:r w:rsidR="00B25E44" w:rsidRPr="001C6458">
              <w:rPr>
                <w:sz w:val="20"/>
                <w:szCs w:val="20"/>
                <w:lang w:val="es-ES"/>
              </w:rPr>
              <w:t xml:space="preserve"> las actividades y en el tiempo </w:t>
            </w:r>
            <w:r w:rsidRPr="001C6458">
              <w:rPr>
                <w:sz w:val="20"/>
                <w:szCs w:val="20"/>
                <w:lang w:val="es-ES"/>
              </w:rPr>
              <w:t>estimado.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Realiza un trabajo limpio y ordenado.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Respeta las opiniones del profesor y sus compañeros.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Participa de manera activa en la clase.</w:t>
            </w: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061" w:rsidRDefault="00640061" w:rsidP="003C58ED">
      <w:pPr>
        <w:spacing w:after="0" w:line="240" w:lineRule="auto"/>
      </w:pPr>
      <w:r>
        <w:separator/>
      </w:r>
    </w:p>
  </w:endnote>
  <w:endnote w:type="continuationSeparator" w:id="1">
    <w:p w:rsidR="00640061" w:rsidRDefault="00640061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061" w:rsidRDefault="00640061" w:rsidP="003C58ED">
      <w:pPr>
        <w:spacing w:after="0" w:line="240" w:lineRule="auto"/>
      </w:pPr>
      <w:r>
        <w:separator/>
      </w:r>
    </w:p>
  </w:footnote>
  <w:footnote w:type="continuationSeparator" w:id="1">
    <w:p w:rsidR="00640061" w:rsidRDefault="00640061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3651E"/>
    <w:rsid w:val="0006213F"/>
    <w:rsid w:val="0008231B"/>
    <w:rsid w:val="000916C4"/>
    <w:rsid w:val="00092874"/>
    <w:rsid w:val="000A5E40"/>
    <w:rsid w:val="000B5BF9"/>
    <w:rsid w:val="000C18CB"/>
    <w:rsid w:val="00106893"/>
    <w:rsid w:val="001308EE"/>
    <w:rsid w:val="00194493"/>
    <w:rsid w:val="001C1C5D"/>
    <w:rsid w:val="001C6458"/>
    <w:rsid w:val="001D57F2"/>
    <w:rsid w:val="001F541B"/>
    <w:rsid w:val="00200DF4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1E9"/>
    <w:rsid w:val="00333649"/>
    <w:rsid w:val="0035023B"/>
    <w:rsid w:val="003616B2"/>
    <w:rsid w:val="00361851"/>
    <w:rsid w:val="00385120"/>
    <w:rsid w:val="003922CB"/>
    <w:rsid w:val="003A436E"/>
    <w:rsid w:val="003C58ED"/>
    <w:rsid w:val="003E2E48"/>
    <w:rsid w:val="00404E94"/>
    <w:rsid w:val="00410C43"/>
    <w:rsid w:val="004211C0"/>
    <w:rsid w:val="004324B4"/>
    <w:rsid w:val="00460AFF"/>
    <w:rsid w:val="00493BEA"/>
    <w:rsid w:val="00493E0E"/>
    <w:rsid w:val="004A146D"/>
    <w:rsid w:val="004A7FB0"/>
    <w:rsid w:val="004C4686"/>
    <w:rsid w:val="004C5745"/>
    <w:rsid w:val="004C6BBC"/>
    <w:rsid w:val="004D4647"/>
    <w:rsid w:val="005025FD"/>
    <w:rsid w:val="00503E00"/>
    <w:rsid w:val="00503F57"/>
    <w:rsid w:val="00552CDB"/>
    <w:rsid w:val="005637CA"/>
    <w:rsid w:val="00586288"/>
    <w:rsid w:val="00586FBA"/>
    <w:rsid w:val="005C19D8"/>
    <w:rsid w:val="005C2B1B"/>
    <w:rsid w:val="005D414A"/>
    <w:rsid w:val="005D4DB4"/>
    <w:rsid w:val="005F5365"/>
    <w:rsid w:val="005F70BF"/>
    <w:rsid w:val="006257EC"/>
    <w:rsid w:val="00640061"/>
    <w:rsid w:val="0064151E"/>
    <w:rsid w:val="00682FB8"/>
    <w:rsid w:val="006A06E8"/>
    <w:rsid w:val="006B7B76"/>
    <w:rsid w:val="006C239E"/>
    <w:rsid w:val="00750BF1"/>
    <w:rsid w:val="00751543"/>
    <w:rsid w:val="007B6E5F"/>
    <w:rsid w:val="007C253D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509C0"/>
    <w:rsid w:val="0085701B"/>
    <w:rsid w:val="008734B2"/>
    <w:rsid w:val="0087662C"/>
    <w:rsid w:val="00896403"/>
    <w:rsid w:val="008B1B6D"/>
    <w:rsid w:val="008F5E84"/>
    <w:rsid w:val="009339DC"/>
    <w:rsid w:val="00942F45"/>
    <w:rsid w:val="00954DCE"/>
    <w:rsid w:val="00972BBC"/>
    <w:rsid w:val="00983276"/>
    <w:rsid w:val="009A0C42"/>
    <w:rsid w:val="009C363D"/>
    <w:rsid w:val="009D201F"/>
    <w:rsid w:val="009D61CA"/>
    <w:rsid w:val="009F03BC"/>
    <w:rsid w:val="00A03AF9"/>
    <w:rsid w:val="00A2206F"/>
    <w:rsid w:val="00A24113"/>
    <w:rsid w:val="00A62B9A"/>
    <w:rsid w:val="00A72AFB"/>
    <w:rsid w:val="00A77AB4"/>
    <w:rsid w:val="00A82300"/>
    <w:rsid w:val="00AA2D1F"/>
    <w:rsid w:val="00AB7D34"/>
    <w:rsid w:val="00AC0418"/>
    <w:rsid w:val="00AC1692"/>
    <w:rsid w:val="00B25E44"/>
    <w:rsid w:val="00B265EF"/>
    <w:rsid w:val="00B57D34"/>
    <w:rsid w:val="00B84AD7"/>
    <w:rsid w:val="00B96F01"/>
    <w:rsid w:val="00BB38B4"/>
    <w:rsid w:val="00BB7343"/>
    <w:rsid w:val="00BE54B7"/>
    <w:rsid w:val="00BE74E9"/>
    <w:rsid w:val="00C43417"/>
    <w:rsid w:val="00C44725"/>
    <w:rsid w:val="00C44F30"/>
    <w:rsid w:val="00C56E32"/>
    <w:rsid w:val="00C67FAE"/>
    <w:rsid w:val="00C70D3C"/>
    <w:rsid w:val="00C80332"/>
    <w:rsid w:val="00C93022"/>
    <w:rsid w:val="00CB58A3"/>
    <w:rsid w:val="00CC1988"/>
    <w:rsid w:val="00CC5A60"/>
    <w:rsid w:val="00D27182"/>
    <w:rsid w:val="00D37575"/>
    <w:rsid w:val="00D50516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D67AA"/>
    <w:rsid w:val="00DF0912"/>
    <w:rsid w:val="00E4483A"/>
    <w:rsid w:val="00E61824"/>
    <w:rsid w:val="00E66E7B"/>
    <w:rsid w:val="00E73F36"/>
    <w:rsid w:val="00EB4021"/>
    <w:rsid w:val="00EB787B"/>
    <w:rsid w:val="00EF081A"/>
    <w:rsid w:val="00EF0D1C"/>
    <w:rsid w:val="00F11091"/>
    <w:rsid w:val="00F113EE"/>
    <w:rsid w:val="00F150BF"/>
    <w:rsid w:val="00F35B9D"/>
    <w:rsid w:val="00F400B2"/>
    <w:rsid w:val="00FC3ED9"/>
    <w:rsid w:val="00FE022D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92</cp:revision>
  <dcterms:created xsi:type="dcterms:W3CDTF">2013-10-25T20:15:00Z</dcterms:created>
  <dcterms:modified xsi:type="dcterms:W3CDTF">2015-12-02T17:14:00Z</dcterms:modified>
</cp:coreProperties>
</file>